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455</w:t>
      </w:r>
    </w:p>
    <w:p>
      <w:r>
        <w:t>Bundesgericht (BGE), 1996-11-04, DE</w:t>
      </w:r>
    </w:p>
    <w:p>
      <w:r>
        <w:rPr>
          <w:b/>
        </w:rPr>
        <w:t xml:space="preserve">Quelle: </w:t>
      </w:r>
      <w:r>
        <w:t>https://mcp.opencaselaw.ch/entscheid/bge_122 II 455</w:t>
      </w:r>
    </w:p>
    <w:p>
      <w:r>
        <w:t>FR: ATF 122 II 455</w:t>
      </w:r>
    </w:p>
    <w:p>
      <w:r>
        <w:t>IT: DTF 122 II 455</w:t>
      </w:r>
    </w:p>
    <w:p>
      <w:pPr>
        <w:pStyle w:val="Heading2"/>
      </w:pPr>
      <w:r>
        <w:t>Regeste</w:t>
      </w:r>
    </w:p>
    <w:p>
      <w:r>
        <w:t>Regeste Art. 5 RPG; materielle Enteignung (Nichteinzonung). Mögliche Entschädigungstatbestände bei Nichteinzonungen: massgebend ist, ob der Eigentümer seine Liegenschaft aus eigener Kraft in naher Zukunft hätte überbauen können; der Umstand, dass eine Parzelle für sich betrachtet erschlossen ist und der Eigentümer dafür Aufwendungen tätigte, führt nicht zwingend zu einer materiellen Enteignung; Pflicht zur Würdigung aller rechtlichen und tatsächlichen Gegebenheiten (E. 4 und 5a). Erschliessung und Baureife: Bedeutung der gewässerschutzrechtlichen Planung (GKP); Bejahung der Quartierplanpflicht auch in Würdigung der Parzellenlage (E. 5b-e). Hier kein weitgehend überbautes Gebiet (E. 6a). Vorliegen besonderer Gründe des Vertrauensschutzes verneint (E. 6b).</w:t>
      </w:r>
    </w:p>
    <w:p>
      <w:pPr>
        <w:pStyle w:val="Heading2"/>
      </w:pPr>
      <w:r>
        <w:t>Erwägungen</w:t>
      </w:r>
    </w:p>
    <w:p>
      <w:r>
        <w:rPr>
          <w:b/>
        </w:rPr>
        <w:t>E. 4</w:t>
      </w:r>
    </w:p>
    <w:p>
      <w:r>
        <w:t>a) Die Nichteinzonung löst wie gesagt grundsätzlich keine Entschädigungspflicht aus. Sie trifft den Eigentümer nur ausnahmsweise enteignungsähnlich, etwa dann, wenn er überbaubares oder groberschlossenes Land besitzt, das von einem gewässerschutzrechtlichen generellen Kanalisationsprojekt (GKP) erfasst wird, und wenn er für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des Bundesgesetzes über die Raumplanung vom 22. Juni 1979 [Raumplanungsgesetz, RPG; SR 700] ) befindet. Solche Umstände hätten möglicherweise eine Einzonung gebieten können, so dass der Eigentümer am massgebenden Stichtag mit hoher Wahrscheinlichkeit mit einer aus eigener Kraft realisierbaren Überbauung seines Landes rechnen durfte ( BGE 122 II 326 E. 6a; BGE 121 II 417 E. 4b). Trifft das nicht zu, kann nicht von einer enteignungsgleichen Wirkung der Nichteinzonung gesprochen werden. Der Eigentümer besitzt grundsätzlich keinen Rechtsanspruch auf Einweisung seines Landes in eine Bauzone, auch nicht, wenn er erschlossenes oder erschliessbares Land besitzt. Dies ergibt sich aus dem Vorrang der rechtlichen Gegebenheiten, auf die in erster Linie abzustellen ist. BGE 122 II 455 S. 458 Erste Voraussetzung bildet die Zugehörigkeit des entsprechenden Landes zu einer Bauzone, welche den aus der Neuordnung des Bodenrechts fliessenden verfassungs- und gesetzmässigen Anforderungen entspricht und welche die Berechtigung zum Bauen einschliesst ( BGE 122 II 326 E. 6a; BGE 119 Ib 124 E. 2d). b) Das Verwaltungsgericht ging bei der Prüfung der Frage der Entschädigungspflicht von den vorstehend dargelegten Prinzipien aus und prüfte, ob einer der genannten entschädigungspflichtigen Ausnahmefälle vorliege. Dabei kam es zum Schluss, die Liegenschaft des Beschwerdegegners sei vollständig erschlossen und er habe für die Erschliessung bereits erhebliche Kosten aufgewendet. Zur Frage, ob das Grundstück von einem gewässerschutzrechtskonformen GKP erfasst werde, hielt das Verwaltungsgericht fest, Sinn der entsprechenden bundesgerichtlichen Praxis könne nur sein, dass das GKP den verlangten technischen Anforderungen, nicht aber hinsichtlich seiner Ausdehnung den Vorgaben des Gewässerschutzrechtes genüge; andernfalls sei das vom Bundesgericht verlangte Erfordernis eine Hürde, welche nie zu einer Entschädigungspflicht führen könne. Da jedenfalls die Kanalisation zur Erschliessung der Liegenschaft des Beschwerdegegners erstellt sei, sei das Erfordernis des Einbezuges des Grundstücks in ein gewässerschutzrechtskonformes GKP hier obsolet. c) Die Argumentation des Verwaltungsgerichtes wirft Fragen auf. Offenbar geht es davon aus, die in der bundesgerichtlichen Rechtsprechung erwähnten (möglicherweise) entschädigungspflichtigen Nichteinzonungsfälle (vorne E. 4a) seien je in sich geschlossene Tatbestände, und wenn die Voraussetzungen eines Tatbestandes nicht erfüllt seien, liege von vorneherein keine materielle Enteignung vor. In dieser Absolutheit kann die Rechtsprechung des Bundesgerichtes jedoch nicht verstanden werden. Massgebend für das Vorliegen der Entschädigungspflicht (auch) bei Nichteinzonungen ist, dass der Eigentümer am Stichtag seine Liegenschaft aus eigener Kraft in naher Zukunft sehr wahrscheinlich hätte überbauen können. Dabei hat das Bundesgericht stets betont, es komme insoweit auf eine Würdigung aller rechtlichen und tatsächlichen Gegebenheiten an, wobei in erster Linie auf die rechtliche Ausgangslage abzustellen sei ( BGE 122 II 326 E. 3 und 6a ; 121 I 417 E. 4; Urteil des Bundesgerichtes vom 11. November 1992, E. 6c, in ZBl. 94/1993 S. 261 f.). Deshalb können zwar im Einzelfall die gegebenen Erschliessungsverhältnisse eine Entschädigungspflicht gebieten (vgl. Urteil des Bundesgerichtes vom 11. November BGE 122 II 455 S. 459 1992, E. 6d, in ZBl. 94/1993 S. 262 ff.), doch ist das nicht zwingend (vgl. Urteil des Bundesgerichtes vom 9. März 1988, E. 4d, in ZBl. 90/1989 S. 548 f., und nicht veröffentlichtes Urteil des Bundesgerichtes vom 30. Mai 1994 i.S. Gemeinde Safnern, E. 6, mit Präzisierung des zitierten Entscheides vom 11. November 1992); namentlich die sich aus dem Gebot der systematischen Baugebietserschliessung ergebende Quartierplanpflicht kann der Möglichkeit, ein für sich allein betrachtet erschlossenes Grundstück in naher Zukunft aus eigener Kraft zu überbauen, entgegenstehen ( BGE 119 Ib 124 E. 4a/bb; Urteil des Bundesgerichtes vom 11. November 1992, E. 6c, in ZBl. 94/1993 S. 262). Auf der anderen Seite schliesst zum Beispiel selbst eine nicht in allen Teilen hinreichende Erschliessung eine materielle Enteignung nicht zum vornherein aus; es kann sein, dass aufgrund einer Gesamtwürdigung des Sachverhaltes eine Einzonungspflicht bejaht werden muss, weil das Land im weitgehend überbauten Gebiet im Sinne von Art. 36 Abs. 3 RPG liegt ( BGE 122 II 326 E. 6b und c; 121 II 417 ).</w:t>
      </w:r>
    </w:p>
    <w:p>
      <w:r>
        <w:rPr>
          <w:b/>
        </w:rPr>
        <w:t>E. 5</w:t>
      </w:r>
    </w:p>
    <w:p>
      <w:r>
        <w:t>a) Im vorliegenden Fall tätigte der Beschwerdegegner für die Erschliessung seiner Parzelle Aufwendungen; auch kann die Liegenschaft an sich als erschlossen betrachtet werden. Der Augenschein hat dies bestätigt, führen doch sowohl die Strasse als auch die Werkleitungen bis zum bzw. in die unmittelbare Nähe des Grundstückes. Dies allein ist aber nach dem Gesagten für eine allfällige Entschädigungspflicht noch nicht ausschlaggebend. b) aa) Hinsichtlich der Frage, welche Tragweite dem GKP hier zukommt, kann vorab festgehalten werden, dass die Parzelle innerhalb des heute noch geltenden GKP Ortsteil Uerikon-Wellenberg vom Dezember 1965 liegt. Allerdings ist das vom GKP erfasste Gebiet deutlich grösser dimensioniert als die Bauzonen der Zonenpläne von 1960 und 1974. Das GKP entsprach damit nie den Anforderungen des Art. 15 der Allgemeinen Gewässerschutzverordnung (AGSchV; SR 814.201) in der Fassung vom 19. Juni 1972, nach dessen Wortlaut für die Ausdehnung des GKP in erster Linie "das im Zonenplan ausgeschiedene Baugebiet" massgeblich ist. Ihm lagen, wie an der Instruktionsverhandlung bestätigt worden ist, völlig unrealistische Vorstellungen über das Bevölkerungswachstum zugrunde (vgl. dazu auch BGE 106 Ia 184 E. 4c). bb) Jedenfalls nicht mit der Rechtsprechung des Bundesgerichtes übereinstimmend ist die Auffassung des Verwaltungsgerichts, wonach sich das Kriterium der Gewässerschutzrechtskonformität des GKP lediglich auf die technischen Aspekte, z.B. die Dimensionierung BGE 122 II 455 S. 460 der Leitungen, nicht aber auf die Ausdehnung des GKP beziehe. Das Bundesgericht beurteilte bereits in BGE 106 Ia 184 (E. 4c) die Dimensionierung des GKP aus ortsplanerischer Sicht. In BGE 118 Ib 38 (E. 4d) und BGE 119 Ib 124 (E. 3b) bestätigte es, dass das GKP für das überbaute und für das innert 15 Jahren zur Erschliessung vorgesehene Baugebiet anzulegen ist (vgl. Art. 15 AGSchV in der Fassung vom 19. Juni 1972). Zwar mag es zutreffen, dass die Rechtsprechung des Bundesgerichts, wonach seit Inkrafttreten des Raumplanungsgesetzes der Verweis in der Gewässerschutzgesetzgebung auf das im Zonenplan ausgeschiedene Baugebiet als Verweis auf eine RPG-konforme Zonenplanung zu verstehen sei (so BGE 118 Ib 47 mit Hinweis auf einen unveröffentlichten Entscheid vom 13. Januar 1992 i.S. Commune de Gruyère), den Anschein erwecken kann, in gewissen Fällen sei die Bejahung einer entschädigungspflichtigen Nichteinzonung von vornherein undenkbar. Wie bereits erwähnt worden ist, stellt indessen das Kriterium des gewässerschutzrechtskonformen GKP nicht einen abgeschlossenen Tatbestand dar. Dazu kommt, dass im vorliegenden Fall die Gewässerschutzrechtskonformität des GKP gerade nicht daran scheitert, dass das GKP nicht den Dimensionen entspricht, wie sie das im Jahre 1980 in Kraft getretene RPG für Bauzonen vorsieht. Das GKP Ortsteil Uerikon-Wellenberg vom Dezember 1965 widerspricht vielmehr auch der Gewässerschutzgesetzgebung, wie sie sich vor Inkrafttreten des RPG präsentiert hat. So war, wie bereits ausgeführt worden ist, das von ihm erfasste Gebiet erheblich grösser als die (bereits überdimensionierten) Bauzonen der Zonenpläne von 1960 und 1974 (vgl. E. 5b/aa). c) Es kommt hinzu, dass sich die Beschwerdeführerin zu Recht auf den Standpunkt stellt, die Quartierplanpflicht stehe trotz der gegebenen Erschliessung einer aus eigener Kraft realisierbaren Überbauung der Liegenschaft durch den Beschwerdegegner entgegen. Anders als dieser meint, ist der Einwand der Quartierplanpflicht nicht neu. Die Beschwerdeführerin hat in ihrer Klagebegründung vom 11. November 1993 einlässlich ausgeführt, weshalb ihrer Meinung nach ein Grundstück, das für sich allein betrachtet erschlossen ist, in die für die Baureifmachung eines ganzen Gebiets notwendige Quartierplanung einbezogen werden kann. Der Augenschein hat in tatsächlicher Hinsicht bestätigt, dass sich das Grundstück an einer landschaftlich heiklen Stelle befindet. Es liegt auf einem Moränenhügel und markiert als Abschluss des nach Süden abfallenden Rütihofhangs den Übergang zum nördlich BGE 122 II 455 S. 461 anschliessenden unüberbauten Plateau "Torlen". Östlich der Parzelle befinden sich die unüberbauten Grundstücke Kat.-Nrn. ..., .. und ...... Auch diese zeichnen sich durch ihre exponierte und landschaftlich heikle Lage an der Krete des Rütihofhanges aus. Diese landschaftlich besondere Situation fand in den planerischen Festlegungen der Gemeinde Niederschlag. Die Beschwerdeführerin bezeichnete in ihrem Richtplan den östlichen Teil der Parzelle des X. sowie die östlich daran anschliessenden Grundstücke als Trenngebiete (kommunaler Gesamtplan, Siedlungsplan, Landschaftsplan und Plan der öffentlichen Bauten und Anlagen vom 16. Mai 1983). Im Bericht zum kommunalen Gesamtplan, Ziff. 4.5.1., wird dazu als Begründung angeführt, solche Gebiete sollten aus Gründen des Landschaftsschutzes unüberbaut bleiben. Eine aktive Nutzung als Erholungsgebiet stehe im Interesse der Erhaltung der noch unüberbauten Hügelkuppe nicht im Vordergrund. Die Bedeutung des Trenngebietes liege in der Gliederung des Siedlungsgebietes, weshalb die entsprechenden Landflächen unüberbaut bleiben sollten. d) Der Quartierplan bezweckt, eingezontes Land überbaubar zu machen ( § 123 ff. PBG ; BGE 113 Ib 133 E. 4c; WALTER HALLER/PETER KARLEN, Raumplanungs- und Baurecht, 2. Aufl., 1992, S. 87). Er dient der systematischen Erschliessung von Bauland innerhalb eines zusammenhängenden Gebietes und will sicherstellen, dass eine Bauzone zweckmässig und zielgerichtet in Beachtung des Gebots der haushälterischen Bodennutzung erschlossen wird ( Art. 1 RPG , Art. 5 des Wohnbau- und Eigentumsförderungsgesetzes [WEG; SR 843]; § 123 Abs. 1 und § 126 Abs. 1 des Zürcher Planungs- und Baugesetzes [PBG]; BGE 119 Ib 124 E. 4a/bb). Mit Blick auf diese Funktionen des Quartierplans war die fragliche Liegenschaft am Stichtag (dazu BGE 121 II 417 E. 3a) nicht baureif. Die Lage der Parzelle als "Pfortengrundstück" des gesamten Kretenareals lässt die Durchführung eines Quartierplanverfahrens als angezeigt erscheinen. Der Beschwerdeführerin ist zuzustimmen, dass eine systematische Erschliessung des als landschaftliche Einheit in Erscheinung tretenden Moränenhügels sinnvollerweise nur auf planerischem Weg erfolgen kann. Zufolge der beschriebenen Lage der Parzelle Kat.-Nr. .... hätte die Realisierung der für die Erschliessung aller Grundstücke notwendigen Anlagen den Einbezug des streitbetroffenen Grundstücks in die Quartierplanung bedingt, und ein entsprechender Landabzug wäre mit an Sicherheit grenzender Wahrscheinlichkeit notwendig gewesen ( § 138 Abs. 1 und 2 PBG ). Eine vorgängige isolierte Baubewilligung für die Parzelle hätte bei dieser BGE 122 II 455 S. 462 Sachlage die planungsrechtlichen Festlegungen für den restlichen noch unüberbauten Hügelzug weitgehend präjudiziert; die Baureife muss daher verneint werden ( § 234 Abs. 1 PBG ). e) Aus dem Umstand, dass die südlich gelegenen Parzellen ohne Quartierplanverfahren überbaut wurden, kann der Beschwerdegegner nichts zu seinen Gunsten ableiten. Im Gegensatz zu seiner Parzelle sowie den östlich daran anschliessenden unüberbauten Grundstücken befinden sich diese Liegenschaften nicht an einer exponierten Kretenlage. Optisch wie topographisch kommt diesem Hanggelände eine eigenständige Bedeutung zu. Der Augenschein hat bestätigt, dass es sich von den Kretenparzellen abhebt, weshalb das Bedürfnis nach einer die Feinerschliessung einlässlich regelnden Quartierplanung anders beurteilt werden kann (in diesem Sinne auch die in BGE 118 Ib 38 nicht publizierte E. 5b betreffend das Verhältnis eines Hanggrundstückes zu einer oberhalb bestehenden alten Bebauung im Weiler Fidaz/Flims). Nichts hilft dem Beschwerdegegner auch der Einwand, die zum Gebiet hinaufführende Torlenstrasse sei in den achtziger Jahren entgegen der Bezeichnung der Strasse im Verkehrsplan als Fussweg in einem privaten Bauverfahren als Erschliessungsstrasse ausgebaut worden. Die im Richtplan eingetragene Signatur "Fussweg" bedeutet nicht, dass die Torlenstrasse ausschliesslich nur noch Fussgängern zugänglich gemacht werden soll. Der Bericht zum kommunalen Gesamtplan vom 16. Mai 1983 verdeutlicht das; danach umfasst das Netz sowohl eigentliche Fusswege als auch Verbindungsstrekken auf oder entlang bestehender oder geplanter Strassen. Insoweit steht die genannte richtplanerische Festlegung einem Ausbau der Torlenstrasse für die Erschliessung der Hanggrundstücke nicht entgegen.</w:t>
      </w:r>
    </w:p>
    <w:p>
      <w:r>
        <w:rPr>
          <w:b/>
        </w:rPr>
        <w:t>E. 6</w:t>
      </w:r>
    </w:p>
    <w:p>
      <w:r>
        <w:t>Eine materielle Enteignung könnte somit nur noch bejaht werden, wenn besondere Umstände vorlägen, die es aus Gründen des Vertrauensschutzes geboten hätten, die Liegenschaft einer Bauzone zuzuweisen, oder wenn diese im weitgehend überbauten Gebiet läge (vorne E. 4a). a) Was die Zugehörigkeit zum weitgehend überbauten Gebiet anbelangt, sind die Voraussetzungen für eine entschädigungspflichtige Nichteinzonung nicht erfüllt. Der Begriff des weitgehend überbauten Gebiets ist eng zu verstehen. Er umfasst im wesentlichen den geschlossenen Siedlungsbereich und eigentliche Baulücken ( BGE 122 II 326 E. 6c/aa; BGE 121 II 417 E. 5a). Im vorliegenden Fall kann nicht gesagt werden, für die Parzelle von X. treffe das zu. Wie aus BGE 122 II 455 S. 463 den Akten hervorgeht und am Augenschein erhärtet werden konnte, liegt das Grundstück des Beschwerdegegners am Rande des überbauten Gebiets von Stäfa im Übergang zur nächsten Gelände-kammer. Es gehört nicht zum geschlossenen Siedlungsbereich und kann auch nicht als Baulücke bezeichnet werden. b) Andere besondere Umstände, die eine Vertrauensposition geschaffen und damit eine Einzonung geboten hätten, sind nicht ersichtlich. Namentlich sind - wie gesagt - die Erschliessungsverhältnisse nicht geeignet, die ausnahmsweise Entschädigungspflicht zu begründen. Im übrigen brachte die Gemeinde Stäfa schon seit einiger Zeit zum Ausdruck, dass die Hangkrete wegen ihrer landschaftlich besonderen Lage nicht oder jedenfalls nur unter einschränkenden Bedingungen überbaut werden sollte (vgl. die in E. 5d zitierte kommunale Richtplanung sowie die anlässlich des Augenscheins erwähnte, von der Gemeinde im Jahre 1980 durchgeführte Umfrage über die weitere planerische Behandlung des Gebietes "Torlen"). Zudem war schon früh erkennbar, dass eine allfällige Überbauung wohl nur auf dem Wege der Quartierplanung hätte erfolgen können. So war die Liegenschaft bereits Mitte der siebziger Jahre Bestandteil eines Quartierplanperimeters (vgl. Quartierplan Fangen Nord, Bericht des Projektverfassers Corrodi vom 25. Juli 1974, wonach alle von der Torlenstrasse her erschlossenen Parzellen zwischen der Geländekante Rütihof und der nördlichen Zonengrenze dem Unterperimeter 4 zugewiesen werden). Dass diese Planung nicht weiterverfolgt wurde, lag primär an der mit Inkrafttreten des PBG einsetzenden Diskussion um die Bauzonenbegrenzung sowie der damit zusammenhängenden Planungszone; im übrigen wurde bereits erwähnt, dass das eigentliche Hanggelände hinsichtlich der Quartierplanrealisierung anders als die Kretengrundstücke behandelt werden kann (vorne E. 5e).</w:t>
      </w:r>
    </w:p>
    <w:p>
      <w:r>
        <w:rPr>
          <w:b/>
        </w:rPr>
        <w:t>E. 7</w:t>
      </w:r>
    </w:p>
    <w:p>
      <w:r>
        <w:t>a) Zusammenfassend ergibt sich, dass das Verwaltungsgericht zu Unrecht davon ausging, die Nichteinzonung habe enteignungsähnliche Wirkung. Der Beschwerdegegner durfte unter den gegebenen Umständen nicht mit einer Einzonung seiner Liegenschaft in eine Bauzone rechnen. Die Beschwerde ist somit gutzuheissen, und es ist festzustellen, dass die Umzonung der Parzelle von X. in die kommunale Landwirtschaftszone den Tatbestand der materiellen Enteignung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